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BCD" w:rsidRDefault="00070BCD" w:rsidP="00070BCD">
      <w:pPr>
        <w:spacing w:after="0" w:line="240" w:lineRule="auto"/>
        <w:ind w:right="-20"/>
        <w:rPr>
          <w:rFonts w:ascii="Times New Roman" w:eastAsia="Times New Roman" w:hAnsi="Times New Roman" w:cs="Times New Roman"/>
          <w:b/>
          <w:bCs/>
          <w:color w:val="000000"/>
          <w:sz w:val="26"/>
          <w:szCs w:val="26"/>
        </w:rPr>
      </w:pPr>
      <w:bookmarkStart w:id="0" w:name="_GoBack"/>
      <w:bookmarkEnd w:id="0"/>
      <w:r>
        <w:rPr>
          <w:rFonts w:ascii="Times New Roman" w:eastAsia="Times New Roman" w:hAnsi="Times New Roman" w:cs="Times New Roman"/>
          <w:b/>
          <w:bCs/>
          <w:color w:val="000000"/>
          <w:spacing w:val="2"/>
          <w:sz w:val="26"/>
          <w:szCs w:val="26"/>
        </w:rPr>
        <w:t>7</w:t>
      </w:r>
      <w:r>
        <w:rPr>
          <w:rFonts w:ascii="Times New Roman" w:eastAsia="Times New Roman" w:hAnsi="Times New Roman" w:cs="Times New Roman"/>
          <w:b/>
          <w:bCs/>
          <w:color w:val="000000"/>
          <w:sz w:val="26"/>
          <w:szCs w:val="26"/>
        </w:rPr>
        <w:t>.2</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bCs/>
          <w:color w:val="000000"/>
          <w:spacing w:val="-1"/>
          <w:sz w:val="26"/>
          <w:szCs w:val="26"/>
        </w:rPr>
        <w:t>B</w:t>
      </w:r>
      <w:r>
        <w:rPr>
          <w:rFonts w:ascii="Times New Roman" w:eastAsia="Times New Roman" w:hAnsi="Times New Roman" w:cs="Times New Roman"/>
          <w:b/>
          <w:bCs/>
          <w:color w:val="000000"/>
          <w:sz w:val="26"/>
          <w:szCs w:val="26"/>
        </w:rPr>
        <w:t>est</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bCs/>
          <w:color w:val="000000"/>
          <w:sz w:val="26"/>
          <w:szCs w:val="26"/>
        </w:rPr>
        <w:t>P</w:t>
      </w:r>
      <w:r>
        <w:rPr>
          <w:rFonts w:ascii="Times New Roman" w:eastAsia="Times New Roman" w:hAnsi="Times New Roman" w:cs="Times New Roman"/>
          <w:b/>
          <w:bCs/>
          <w:color w:val="000000"/>
          <w:spacing w:val="-3"/>
          <w:sz w:val="26"/>
          <w:szCs w:val="26"/>
        </w:rPr>
        <w:t>r</w:t>
      </w:r>
      <w:r>
        <w:rPr>
          <w:rFonts w:ascii="Times New Roman" w:eastAsia="Times New Roman" w:hAnsi="Times New Roman" w:cs="Times New Roman"/>
          <w:b/>
          <w:bCs/>
          <w:color w:val="000000"/>
          <w:spacing w:val="1"/>
          <w:sz w:val="26"/>
          <w:szCs w:val="26"/>
        </w:rPr>
        <w:t>a</w:t>
      </w:r>
      <w:r>
        <w:rPr>
          <w:rFonts w:ascii="Times New Roman" w:eastAsia="Times New Roman" w:hAnsi="Times New Roman" w:cs="Times New Roman"/>
          <w:b/>
          <w:bCs/>
          <w:color w:val="000000"/>
          <w:sz w:val="26"/>
          <w:szCs w:val="26"/>
        </w:rPr>
        <w:t>c</w:t>
      </w:r>
      <w:r>
        <w:rPr>
          <w:rFonts w:ascii="Times New Roman" w:eastAsia="Times New Roman" w:hAnsi="Times New Roman" w:cs="Times New Roman"/>
          <w:b/>
          <w:bCs/>
          <w:color w:val="000000"/>
          <w:spacing w:val="2"/>
          <w:sz w:val="26"/>
          <w:szCs w:val="26"/>
        </w:rPr>
        <w:t>t</w:t>
      </w:r>
      <w:r>
        <w:rPr>
          <w:rFonts w:ascii="Times New Roman" w:eastAsia="Times New Roman" w:hAnsi="Times New Roman" w:cs="Times New Roman"/>
          <w:b/>
          <w:bCs/>
          <w:color w:val="000000"/>
          <w:sz w:val="26"/>
          <w:szCs w:val="26"/>
        </w:rPr>
        <w:t>ices</w:t>
      </w:r>
    </w:p>
    <w:p w:rsidR="00070BCD" w:rsidRDefault="00070BCD" w:rsidP="00070BCD">
      <w:pPr>
        <w:spacing w:after="94" w:line="240" w:lineRule="exact"/>
        <w:rPr>
          <w:rFonts w:ascii="Times New Roman" w:eastAsia="Times New Roman" w:hAnsi="Times New Roman" w:cs="Times New Roman"/>
          <w:sz w:val="24"/>
          <w:szCs w:val="24"/>
        </w:rPr>
      </w:pPr>
    </w:p>
    <w:p w:rsidR="00070BCD" w:rsidRDefault="00070BCD" w:rsidP="00070BCD">
      <w:pPr>
        <w:spacing w:after="0" w:line="240" w:lineRule="exact"/>
        <w:rPr>
          <w:rFonts w:ascii="Times New Roman" w:eastAsia="Times New Roman" w:hAnsi="Times New Roman" w:cs="Times New Roman"/>
          <w:sz w:val="24"/>
          <w:szCs w:val="24"/>
        </w:rPr>
      </w:pPr>
    </w:p>
    <w:p w:rsidR="00070BCD" w:rsidRPr="001A6011" w:rsidRDefault="00070BCD" w:rsidP="00070BCD">
      <w:pPr>
        <w:pStyle w:val="BodyText"/>
        <w:spacing w:line="360" w:lineRule="auto"/>
        <w:ind w:left="101"/>
        <w:rPr>
          <w:rFonts w:ascii="Times New Roman" w:hAnsi="Times New Roman" w:cs="Times New Roman"/>
          <w:u w:val="single"/>
        </w:rPr>
      </w:pPr>
      <w:r w:rsidRPr="00901F8C">
        <w:rPr>
          <w:rFonts w:ascii="Times New Roman" w:hAnsi="Times New Roman" w:cs="Times New Roman"/>
          <w:b/>
          <w:bCs/>
          <w:w w:val="90"/>
          <w:u w:val="single"/>
        </w:rPr>
        <w:t>BEST PRACTICE</w:t>
      </w:r>
    </w:p>
    <w:p w:rsidR="00070BCD" w:rsidRPr="00B84FE4" w:rsidRDefault="00070BCD" w:rsidP="00070BCD">
      <w:pPr>
        <w:pStyle w:val="BodyText"/>
        <w:spacing w:before="156" w:line="360" w:lineRule="auto"/>
        <w:ind w:left="101"/>
        <w:rPr>
          <w:rFonts w:ascii="Times New Roman" w:hAnsi="Times New Roman" w:cs="Times New Roman"/>
          <w:b/>
          <w:bCs/>
          <w:u w:val="single"/>
        </w:rPr>
      </w:pPr>
      <w:r w:rsidRPr="00B84FE4">
        <w:rPr>
          <w:rFonts w:ascii="Times New Roman" w:hAnsi="Times New Roman" w:cs="Times New Roman"/>
          <w:b/>
          <w:bCs/>
          <w:u w:val="single"/>
        </w:rPr>
        <w:t>Title of the Practice</w:t>
      </w:r>
    </w:p>
    <w:p w:rsidR="00070BCD" w:rsidRPr="001A6011" w:rsidRDefault="00070BCD" w:rsidP="00070BCD">
      <w:pPr>
        <w:pStyle w:val="BodyText"/>
        <w:spacing w:before="1" w:line="360" w:lineRule="auto"/>
        <w:ind w:left="101" w:right="412"/>
        <w:rPr>
          <w:rFonts w:ascii="Times New Roman" w:hAnsi="Times New Roman" w:cs="Times New Roman"/>
        </w:rPr>
      </w:pPr>
      <w:r>
        <w:rPr>
          <w:rFonts w:ascii="Times New Roman" w:hAnsi="Times New Roman" w:cs="Times New Roman"/>
        </w:rPr>
        <w:tab/>
      </w:r>
      <w:r w:rsidRPr="001A6011">
        <w:rPr>
          <w:rFonts w:ascii="Times New Roman" w:hAnsi="Times New Roman" w:cs="Times New Roman"/>
        </w:rPr>
        <w:t>To make available the extensive and unique experimental facilities available with DAE Institutions for advanced research by HBNI students and faculty and also other Research Institutions/Universities</w:t>
      </w:r>
    </w:p>
    <w:p w:rsidR="00070BCD" w:rsidRPr="00B84FE4" w:rsidRDefault="00070BCD" w:rsidP="00070BCD">
      <w:pPr>
        <w:pStyle w:val="BodyText"/>
        <w:spacing w:line="360" w:lineRule="auto"/>
        <w:ind w:left="101"/>
        <w:rPr>
          <w:rFonts w:ascii="Times New Roman" w:hAnsi="Times New Roman" w:cs="Times New Roman"/>
          <w:b/>
          <w:bCs/>
          <w:u w:val="single"/>
        </w:rPr>
      </w:pPr>
      <w:r w:rsidRPr="00B84FE4">
        <w:rPr>
          <w:rFonts w:ascii="Times New Roman" w:hAnsi="Times New Roman" w:cs="Times New Roman"/>
          <w:b/>
          <w:bCs/>
          <w:u w:val="single"/>
        </w:rPr>
        <w:t>Objectives of the Practice</w:t>
      </w:r>
    </w:p>
    <w:p w:rsidR="00070BCD" w:rsidRPr="001A6011" w:rsidRDefault="00070BCD" w:rsidP="00070BCD">
      <w:pPr>
        <w:pStyle w:val="BodyText"/>
        <w:spacing w:before="195" w:line="360" w:lineRule="auto"/>
        <w:ind w:left="101" w:right="301"/>
        <w:rPr>
          <w:rFonts w:ascii="Times New Roman" w:hAnsi="Times New Roman" w:cs="Times New Roman"/>
        </w:rPr>
      </w:pPr>
      <w:r>
        <w:rPr>
          <w:rFonts w:ascii="Times New Roman" w:hAnsi="Times New Roman" w:cs="Times New Roman"/>
        </w:rPr>
        <w:tab/>
      </w:r>
      <w:r w:rsidRPr="001A6011">
        <w:rPr>
          <w:rFonts w:ascii="Times New Roman" w:hAnsi="Times New Roman" w:cs="Times New Roman"/>
        </w:rPr>
        <w:t>The CIs/OCC of HBNI have unique, state-of-the art research facilities, such as nuclear reactors, accelerators, etc. HBNI aims to advance indigenous nuclear technological capability by making available these research facilities to the young research students. The experimental facilities are also extended to students of other Universities, with the twin objectives of enhancing the utilization of the national facilities and aiding the development of human resources for the country.</w:t>
      </w:r>
    </w:p>
    <w:p w:rsidR="00070BCD" w:rsidRPr="00B84FE4" w:rsidRDefault="00070BCD" w:rsidP="00070BCD">
      <w:pPr>
        <w:pStyle w:val="BodyText"/>
        <w:spacing w:line="360" w:lineRule="auto"/>
        <w:ind w:left="101"/>
        <w:rPr>
          <w:rFonts w:ascii="Times New Roman" w:hAnsi="Times New Roman" w:cs="Times New Roman"/>
          <w:b/>
          <w:bCs/>
          <w:u w:val="single"/>
        </w:rPr>
      </w:pPr>
      <w:r w:rsidRPr="00B84FE4">
        <w:rPr>
          <w:rFonts w:ascii="Times New Roman" w:hAnsi="Times New Roman" w:cs="Times New Roman"/>
          <w:b/>
          <w:bCs/>
          <w:u w:val="single"/>
        </w:rPr>
        <w:t>The Context</w:t>
      </w:r>
    </w:p>
    <w:p w:rsidR="00070BCD" w:rsidRPr="001A6011" w:rsidRDefault="00070BCD" w:rsidP="00070BCD">
      <w:pPr>
        <w:pStyle w:val="BodyText"/>
        <w:spacing w:before="196" w:line="360" w:lineRule="auto"/>
        <w:ind w:left="101" w:right="300"/>
        <w:rPr>
          <w:rFonts w:ascii="Times New Roman" w:hAnsi="Times New Roman" w:cs="Times New Roman"/>
        </w:rPr>
      </w:pPr>
      <w:r>
        <w:rPr>
          <w:rFonts w:ascii="Times New Roman" w:hAnsi="Times New Roman" w:cs="Times New Roman"/>
        </w:rPr>
        <w:tab/>
      </w:r>
      <w:r w:rsidRPr="001A6011">
        <w:rPr>
          <w:rFonts w:ascii="Times New Roman" w:hAnsi="Times New Roman" w:cs="Times New Roman"/>
        </w:rPr>
        <w:t>DAE is pursuing indigenous development of materials, eq</w:t>
      </w:r>
      <w:r>
        <w:rPr>
          <w:rFonts w:ascii="Times New Roman" w:hAnsi="Times New Roman" w:cs="Times New Roman"/>
        </w:rPr>
        <w:t>uipment, processes, systems and</w:t>
      </w:r>
      <w:r w:rsidRPr="001A6011">
        <w:rPr>
          <w:rFonts w:ascii="Times New Roman" w:hAnsi="Times New Roman" w:cs="Times New Roman"/>
        </w:rPr>
        <w:t xml:space="preserve"> mega science facilities relevant to nuclear science and technology. Such a program involves challenging experiments such as measurement of properties of radioactive fuel, degradation of structural materials subjected to irradiation, production of ra</w:t>
      </w:r>
      <w:r>
        <w:rPr>
          <w:rFonts w:ascii="Times New Roman" w:hAnsi="Times New Roman" w:cs="Times New Roman"/>
        </w:rPr>
        <w:t xml:space="preserve">diopharmaceuticals, enrichment </w:t>
      </w:r>
      <w:r w:rsidRPr="001A6011">
        <w:rPr>
          <w:rFonts w:ascii="Times New Roman" w:hAnsi="Times New Roman" w:cs="Times New Roman"/>
        </w:rPr>
        <w:t>of nuclear fuel materials, radiation applications, etc. DAE has set up a wide variety of unique experimental facilities to address these R &amp; D requirements, which are of high value, not only with regard to research on topics related to nuclear sciences, but also several other domains of science and</w:t>
      </w:r>
      <w:r w:rsidR="003B3044">
        <w:rPr>
          <w:rFonts w:ascii="Times New Roman" w:hAnsi="Times New Roman" w:cs="Times New Roman"/>
        </w:rPr>
        <w:t xml:space="preserve"> </w:t>
      </w:r>
      <w:r w:rsidRPr="001A6011">
        <w:rPr>
          <w:rFonts w:ascii="Times New Roman" w:hAnsi="Times New Roman" w:cs="Times New Roman"/>
        </w:rPr>
        <w:t>technology.</w:t>
      </w:r>
    </w:p>
    <w:p w:rsidR="00070BCD" w:rsidRPr="00B84FE4" w:rsidRDefault="00070BCD" w:rsidP="00070BCD">
      <w:pPr>
        <w:pStyle w:val="BodyText"/>
        <w:spacing w:line="360" w:lineRule="auto"/>
        <w:ind w:left="101"/>
        <w:rPr>
          <w:rFonts w:ascii="Times New Roman" w:hAnsi="Times New Roman" w:cs="Times New Roman"/>
          <w:b/>
          <w:bCs/>
          <w:u w:val="single"/>
        </w:rPr>
      </w:pPr>
      <w:r w:rsidRPr="00B84FE4">
        <w:rPr>
          <w:rFonts w:ascii="Times New Roman" w:hAnsi="Times New Roman" w:cs="Times New Roman"/>
          <w:b/>
          <w:bCs/>
          <w:u w:val="single"/>
        </w:rPr>
        <w:t>The Practice</w:t>
      </w:r>
    </w:p>
    <w:p w:rsidR="00070BCD" w:rsidRPr="001A6011" w:rsidRDefault="00070BCD" w:rsidP="00070BCD">
      <w:pPr>
        <w:pStyle w:val="BodyText"/>
        <w:spacing w:line="360" w:lineRule="auto"/>
        <w:ind w:left="101" w:right="212"/>
        <w:rPr>
          <w:rFonts w:ascii="Times New Roman" w:hAnsi="Times New Roman" w:cs="Times New Roman"/>
        </w:rPr>
      </w:pPr>
      <w:r>
        <w:rPr>
          <w:rFonts w:ascii="Times New Roman" w:hAnsi="Times New Roman" w:cs="Times New Roman"/>
        </w:rPr>
        <w:tab/>
      </w:r>
      <w:r w:rsidRPr="001A6011">
        <w:rPr>
          <w:rFonts w:ascii="Times New Roman" w:hAnsi="Times New Roman" w:cs="Times New Roman"/>
        </w:rPr>
        <w:t>HBNI encourages faculty and students to take up research programs that make use of the immense experimental facilities available within DAE units. Apart from state of the art High Performance computing facilities, DAE has laboratories to cater to major experimental research activities in various disciplines. Some of the unique experimental facilities available are research</w:t>
      </w:r>
      <w:r w:rsidR="003B3044">
        <w:rPr>
          <w:rFonts w:ascii="Times New Roman" w:hAnsi="Times New Roman" w:cs="Times New Roman"/>
        </w:rPr>
        <w:t xml:space="preserve"> </w:t>
      </w:r>
      <w:r w:rsidRPr="001A6011">
        <w:rPr>
          <w:rFonts w:ascii="Times New Roman" w:hAnsi="Times New Roman" w:cs="Times New Roman"/>
        </w:rPr>
        <w:t xml:space="preserve">reactors, accelerators, tokamaks, synchrotron, neutron spectrometers, large telescopes, laboratories for experiments with ultrapure / reactive/ radioactive materials, high temperature sodium test facilities, shake table for seismic simulations, facilities to study materials under extreme conditions, etc. Other advanced experimental </w:t>
      </w:r>
      <w:r w:rsidRPr="001A6011">
        <w:rPr>
          <w:rFonts w:ascii="Times New Roman" w:hAnsi="Times New Roman" w:cs="Times New Roman"/>
        </w:rPr>
        <w:lastRenderedPageBreak/>
        <w:t xml:space="preserve">facilities available in the CIs/OCC include crystal growth facilities, spectroscopic facilities, ultrafast chemistry, thin film deposition, plasma processing, laboratories for stress analysis, robotics and remote handling, electromagnetic forming/welding equipment, etc. The students of HBNI from </w:t>
      </w:r>
      <w:r>
        <w:rPr>
          <w:rFonts w:ascii="Times New Roman" w:hAnsi="Times New Roman" w:cs="Times New Roman"/>
        </w:rPr>
        <w:t xml:space="preserve">various CIs/OCC have access to </w:t>
      </w:r>
      <w:r w:rsidRPr="001A6011">
        <w:rPr>
          <w:rFonts w:ascii="Times New Roman" w:hAnsi="Times New Roman" w:cs="Times New Roman"/>
        </w:rPr>
        <w:t>such unique and complex experimental facilities and thus develop unique expertise in challenging experimentation. DAE also participates in international collaborative ventures, viz. LHC, ITER, FAIR, Project X of Fermi Lab, LIGO, etc. Several HBNI students have the privilege of working with international teams on experiments, computations and instrumentation development related to these</w:t>
      </w:r>
      <w:r w:rsidR="003B3044">
        <w:rPr>
          <w:rFonts w:ascii="Times New Roman" w:hAnsi="Times New Roman" w:cs="Times New Roman"/>
        </w:rPr>
        <w:t xml:space="preserve"> </w:t>
      </w:r>
      <w:r w:rsidRPr="001A6011">
        <w:rPr>
          <w:rFonts w:ascii="Times New Roman" w:hAnsi="Times New Roman" w:cs="Times New Roman"/>
        </w:rPr>
        <w:t>projects.</w:t>
      </w:r>
    </w:p>
    <w:p w:rsidR="00070BCD" w:rsidRPr="001A6011" w:rsidRDefault="00070BCD" w:rsidP="00070BCD">
      <w:pPr>
        <w:pStyle w:val="BodyText"/>
        <w:spacing w:line="360" w:lineRule="auto"/>
        <w:ind w:left="101" w:right="212"/>
        <w:rPr>
          <w:rFonts w:ascii="Times New Roman" w:hAnsi="Times New Roman" w:cs="Times New Roman"/>
        </w:rPr>
      </w:pPr>
      <w:r>
        <w:rPr>
          <w:rFonts w:ascii="Times New Roman" w:hAnsi="Times New Roman" w:cs="Times New Roman"/>
        </w:rPr>
        <w:tab/>
      </w:r>
      <w:r w:rsidRPr="001A6011">
        <w:rPr>
          <w:rFonts w:ascii="Times New Roman" w:hAnsi="Times New Roman" w:cs="Times New Roman"/>
        </w:rPr>
        <w:t xml:space="preserve">DAE units also make available the large experimental facilities to students from other organizations / universities, through a UGC-DAE consortium. The beamlines available at Indus synchrotron facilities at RRCAT are routinely used by researchers from other Universities. At BARC, university scientists and students are provided access to the National Facility for Neutron Beam Research (NFNBR) at Dhruva reactor. The Kolkata Center of the Consortium coordinates accelerator based experimental work, both in-beam and offline at the VECC and the 3 MV </w:t>
      </w:r>
      <w:proofErr w:type="spellStart"/>
      <w:r w:rsidRPr="001A6011">
        <w:rPr>
          <w:rFonts w:ascii="Times New Roman" w:hAnsi="Times New Roman" w:cs="Times New Roman"/>
        </w:rPr>
        <w:t>Pelletron</w:t>
      </w:r>
      <w:proofErr w:type="spellEnd"/>
      <w:r w:rsidRPr="001A6011">
        <w:rPr>
          <w:rFonts w:ascii="Times New Roman" w:hAnsi="Times New Roman" w:cs="Times New Roman"/>
        </w:rPr>
        <w:t xml:space="preserve"> at </w:t>
      </w:r>
      <w:proofErr w:type="spellStart"/>
      <w:r w:rsidRPr="001A6011">
        <w:rPr>
          <w:rFonts w:ascii="Times New Roman" w:hAnsi="Times New Roman" w:cs="Times New Roman"/>
        </w:rPr>
        <w:t>IoP</w:t>
      </w:r>
      <w:proofErr w:type="spellEnd"/>
      <w:r w:rsidRPr="001A6011">
        <w:rPr>
          <w:rFonts w:ascii="Times New Roman" w:hAnsi="Times New Roman" w:cs="Times New Roman"/>
        </w:rPr>
        <w:t>. The Kalpakkam node provides access to the sophisticated scientific equipment of IGCAR for the university researchers. HBNI faculty are deeply involved in the collaboration programs pursued in these facilities.</w:t>
      </w:r>
    </w:p>
    <w:p w:rsidR="00070BCD" w:rsidRPr="00B84FE4" w:rsidRDefault="00070BCD" w:rsidP="00070BCD">
      <w:pPr>
        <w:pStyle w:val="BodyText"/>
        <w:spacing w:line="360" w:lineRule="auto"/>
        <w:ind w:left="101"/>
        <w:rPr>
          <w:rFonts w:ascii="Times New Roman" w:hAnsi="Times New Roman" w:cs="Times New Roman"/>
          <w:b/>
          <w:bCs/>
        </w:rPr>
      </w:pPr>
      <w:r w:rsidRPr="00B84FE4">
        <w:rPr>
          <w:rFonts w:ascii="Times New Roman" w:hAnsi="Times New Roman" w:cs="Times New Roman"/>
          <w:b/>
          <w:bCs/>
        </w:rPr>
        <w:t>Evidence of Success</w:t>
      </w:r>
    </w:p>
    <w:p w:rsidR="00070BCD" w:rsidRPr="001A6011" w:rsidRDefault="00070BCD" w:rsidP="00070BCD">
      <w:pPr>
        <w:pStyle w:val="BodyText"/>
        <w:spacing w:before="193" w:line="360" w:lineRule="auto"/>
        <w:ind w:left="101" w:right="270"/>
        <w:rPr>
          <w:rFonts w:ascii="Times New Roman" w:hAnsi="Times New Roman" w:cs="Times New Roman"/>
        </w:rPr>
      </w:pPr>
      <w:r>
        <w:rPr>
          <w:rFonts w:ascii="Times New Roman" w:hAnsi="Times New Roman" w:cs="Times New Roman"/>
        </w:rPr>
        <w:tab/>
      </w:r>
      <w:r w:rsidRPr="001A6011">
        <w:rPr>
          <w:rFonts w:ascii="Times New Roman" w:hAnsi="Times New Roman" w:cs="Times New Roman"/>
        </w:rPr>
        <w:t>The research problems selected by HBNI students have direct bearing on the ongoing programs of the department. The result of this is that the students get opportunities to work on sophisticated experimental facilities and their work gets published in high impact journals. At the same time, DAE gets valuable research inputs for the pr</w:t>
      </w:r>
      <w:r>
        <w:rPr>
          <w:rFonts w:ascii="Times New Roman" w:hAnsi="Times New Roman" w:cs="Times New Roman"/>
        </w:rPr>
        <w:t xml:space="preserve">ojects which are a part of its </w:t>
      </w:r>
      <w:r w:rsidRPr="001A6011">
        <w:rPr>
          <w:rFonts w:ascii="Times New Roman" w:hAnsi="Times New Roman" w:cs="Times New Roman"/>
        </w:rPr>
        <w:t>mission. It has been observed that more than 40% of the PhD dissertations involve   experimental work using DAE facilities. The utilization of the Indus synchrotron and other facilities by researchers across the country has continued to increase over time, producing excellent results in several domains of science. These are all evidences of success of such best practice.</w:t>
      </w:r>
    </w:p>
    <w:p w:rsidR="00070BCD" w:rsidRPr="00B84FE4" w:rsidRDefault="00070BCD" w:rsidP="00070BCD">
      <w:pPr>
        <w:pStyle w:val="BodyText"/>
        <w:spacing w:line="360" w:lineRule="auto"/>
        <w:ind w:left="101"/>
        <w:rPr>
          <w:rFonts w:ascii="Times New Roman" w:hAnsi="Times New Roman" w:cs="Times New Roman"/>
          <w:b/>
          <w:bCs/>
          <w:u w:val="single"/>
        </w:rPr>
      </w:pPr>
      <w:r w:rsidRPr="00B84FE4">
        <w:rPr>
          <w:rFonts w:ascii="Times New Roman" w:hAnsi="Times New Roman" w:cs="Times New Roman"/>
          <w:b/>
          <w:bCs/>
          <w:u w:val="single"/>
        </w:rPr>
        <w:t>Problems Encountered and Resources Required</w:t>
      </w:r>
    </w:p>
    <w:p w:rsidR="00070BCD" w:rsidRPr="001A6011" w:rsidRDefault="00070BCD" w:rsidP="00070BCD">
      <w:pPr>
        <w:pStyle w:val="BodyText"/>
        <w:spacing w:before="193" w:line="360" w:lineRule="auto"/>
        <w:ind w:left="101" w:right="412"/>
        <w:rPr>
          <w:rFonts w:ascii="Times New Roman" w:hAnsi="Times New Roman" w:cs="Times New Roman"/>
        </w:rPr>
      </w:pPr>
      <w:r>
        <w:rPr>
          <w:rFonts w:ascii="Times New Roman" w:hAnsi="Times New Roman" w:cs="Times New Roman"/>
        </w:rPr>
        <w:tab/>
      </w:r>
      <w:r w:rsidRPr="001A6011">
        <w:rPr>
          <w:rFonts w:ascii="Times New Roman" w:hAnsi="Times New Roman" w:cs="Times New Roman"/>
        </w:rPr>
        <w:t>The experimental facilities available in DAE units are under high level of security as they are considered as strategic installations. Use of some facilities involve handling of radioactive</w:t>
      </w:r>
      <w:r w:rsidR="003B3044">
        <w:rPr>
          <w:rFonts w:ascii="Times New Roman" w:hAnsi="Times New Roman" w:cs="Times New Roman"/>
        </w:rPr>
        <w:t xml:space="preserve"> </w:t>
      </w:r>
      <w:r w:rsidRPr="001A6011">
        <w:rPr>
          <w:rFonts w:ascii="Times New Roman" w:hAnsi="Times New Roman" w:cs="Times New Roman"/>
        </w:rPr>
        <w:t xml:space="preserve">elements. Access to such facilities by students needs formal permissions and special training. Similarly, facilities are shared by many researchers at a time and </w:t>
      </w:r>
      <w:r w:rsidRPr="001A6011">
        <w:rPr>
          <w:rFonts w:ascii="Times New Roman" w:hAnsi="Times New Roman" w:cs="Times New Roman"/>
        </w:rPr>
        <w:lastRenderedPageBreak/>
        <w:t>students need to wait for getting access. These factors may lead to time pressure on completion of the academic program, in comparison to conventional universities. No difficulty has however, been encountered in terms of availability of funds to carry out research and payment of fellowships to the students, since such funds are provided by DAE as a part of their regular annual budget.</w:t>
      </w:r>
    </w:p>
    <w:p w:rsidR="006479AC" w:rsidRDefault="006479AC"/>
    <w:sectPr w:rsidR="006479AC" w:rsidSect="006479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BCD"/>
    <w:rsid w:val="00070BCD"/>
    <w:rsid w:val="001608A5"/>
    <w:rsid w:val="00256DED"/>
    <w:rsid w:val="00345D31"/>
    <w:rsid w:val="003A39E8"/>
    <w:rsid w:val="003B3044"/>
    <w:rsid w:val="004C158F"/>
    <w:rsid w:val="004F35D6"/>
    <w:rsid w:val="00522098"/>
    <w:rsid w:val="005629CF"/>
    <w:rsid w:val="006479AC"/>
    <w:rsid w:val="006A413B"/>
    <w:rsid w:val="007D69AB"/>
    <w:rsid w:val="009516E1"/>
    <w:rsid w:val="00975E5E"/>
    <w:rsid w:val="00983F4C"/>
    <w:rsid w:val="00994774"/>
    <w:rsid w:val="00CA4DD0"/>
    <w:rsid w:val="00CB2806"/>
    <w:rsid w:val="00D41F60"/>
    <w:rsid w:val="00ED43E7"/>
    <w:rsid w:val="00F40B05"/>
    <w:rsid w:val="00F60F8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309468-D9A4-4E8D-BEC3-46BF1B946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BCD"/>
    <w:pPr>
      <w:spacing w:after="200"/>
      <w:jc w:val="left"/>
    </w:pPr>
    <w:rPr>
      <w:rFonts w:eastAsiaTheme="minorEastAsia" w:cs="Mangal"/>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70BCD"/>
    <w:pPr>
      <w:widowControl w:val="0"/>
      <w:autoSpaceDE w:val="0"/>
      <w:autoSpaceDN w:val="0"/>
      <w:spacing w:after="0" w:line="240" w:lineRule="auto"/>
      <w:ind w:left="119" w:right="117"/>
      <w:jc w:val="both"/>
    </w:pPr>
    <w:rPr>
      <w:rFonts w:ascii="Arial" w:eastAsia="Arial" w:hAnsi="Arial" w:cs="Arial"/>
      <w:sz w:val="24"/>
      <w:szCs w:val="24"/>
      <w:lang w:val="en-US" w:eastAsia="en-US" w:bidi="ar-SA"/>
    </w:rPr>
  </w:style>
  <w:style w:type="character" w:customStyle="1" w:styleId="BodyTextChar">
    <w:name w:val="Body Text Char"/>
    <w:basedOn w:val="DefaultParagraphFont"/>
    <w:link w:val="BodyText"/>
    <w:uiPriority w:val="1"/>
    <w:rsid w:val="00070BCD"/>
    <w:rPr>
      <w:rFonts w:ascii="Arial" w:eastAsia="Arial" w:hAnsi="Arial" w:cs="Arial"/>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Anshu</dc:creator>
  <cp:lastModifiedBy>Ballu</cp:lastModifiedBy>
  <cp:revision>2</cp:revision>
  <dcterms:created xsi:type="dcterms:W3CDTF">2022-12-05T11:40:00Z</dcterms:created>
  <dcterms:modified xsi:type="dcterms:W3CDTF">2022-12-05T11:40:00Z</dcterms:modified>
</cp:coreProperties>
</file>